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Times New Roman" w:hAnsi="Times New Roman" w:cs="Times New Roman"/>
          <w:sz w:val="36"/>
          <w:szCs w:val="36"/>
        </w:rPr>
      </w:pPr>
      <w:r>
        <w:rPr>
          <w:rFonts w:cs="Times New Roman" w:ascii="Times New Roman" w:hAnsi="Times New Roman"/>
          <w:sz w:val="36"/>
          <w:szCs w:val="36"/>
        </w:rPr>
      </w:r>
    </w:p>
    <w:p>
      <w:pPr>
        <w:pStyle w:val="Normal"/>
        <w:jc w:val="center"/>
        <w:rPr>
          <w:rFonts w:ascii="Times New Roman" w:hAnsi="Times New Roman" w:cs="Times New Roman"/>
          <w:b/>
          <w:b/>
          <w:sz w:val="36"/>
          <w:szCs w:val="36"/>
        </w:rPr>
      </w:pPr>
      <w:bookmarkStart w:id="0" w:name="__DdeLink__294_4167289111"/>
      <w:r>
        <w:rPr>
          <w:rFonts w:cs="Times New Roman" w:ascii="Times New Roman" w:hAnsi="Times New Roman"/>
          <w:b/>
          <w:sz w:val="36"/>
          <w:szCs w:val="36"/>
        </w:rPr>
        <w:t>Балканите : етнически фактори и регионална стабилност</w:t>
      </w:r>
    </w:p>
    <w:p>
      <w:pPr>
        <w:pStyle w:val="Normal"/>
        <w:jc w:val="center"/>
        <w:rPr>
          <w:rFonts w:ascii="Times New Roman" w:hAnsi="Times New Roman" w:cs="Times New Roman"/>
          <w:b/>
          <w:b/>
          <w:sz w:val="36"/>
          <w:szCs w:val="36"/>
        </w:rPr>
      </w:pPr>
      <w:r>
        <w:rPr>
          <w:rFonts w:cs="Times New Roman" w:ascii="Times New Roman" w:hAnsi="Times New Roman"/>
          <w:b/>
          <w:sz w:val="36"/>
          <w:szCs w:val="36"/>
        </w:rPr>
      </w:r>
    </w:p>
    <w:p>
      <w:pPr>
        <w:pStyle w:val="Normal"/>
        <w:rPr>
          <w:rFonts w:ascii="Times New Roman" w:hAnsi="Times New Roman" w:cs="Times New Roman"/>
          <w:sz w:val="32"/>
          <w:szCs w:val="32"/>
        </w:rPr>
      </w:pPr>
      <w:r>
        <w:rPr>
          <w:rFonts w:cs="Times New Roman" w:ascii="Times New Roman" w:hAnsi="Times New Roman"/>
          <w:sz w:val="32"/>
          <w:szCs w:val="32"/>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t xml:space="preserve">                      </w:t>
      </w:r>
    </w:p>
    <w:p>
      <w:pPr>
        <w:pStyle w:val="Normal"/>
        <w:rPr>
          <w:rFonts w:ascii="Times New Roman" w:hAnsi="Times New Roman" w:cs="Times New Roman"/>
          <w:sz w:val="28"/>
          <w:szCs w:val="28"/>
        </w:rPr>
      </w:pPr>
      <w:r>
        <w:rPr>
          <w:rFonts w:cs="Times New Roman" w:ascii="Times New Roman" w:hAnsi="Times New Roman"/>
          <w:sz w:val="28"/>
          <w:szCs w:val="28"/>
        </w:rPr>
        <w:t xml:space="preserve">                                                    </w:t>
      </w:r>
    </w:p>
    <w:p>
      <w:pPr>
        <w:pStyle w:val="Normal"/>
        <w:rPr>
          <w:rFonts w:ascii="Times New Roman" w:hAnsi="Times New Roman" w:cs="Times New Roman"/>
          <w:sz w:val="32"/>
          <w:szCs w:val="32"/>
        </w:rPr>
      </w:pPr>
      <w:r>
        <w:rPr>
          <w:rFonts w:cs="Times New Roman" w:ascii="Times New Roman" w:hAnsi="Times New Roman"/>
          <w:sz w:val="32"/>
          <w:szCs w:val="32"/>
        </w:rPr>
        <w:t>Съдържание :</w:t>
      </w:r>
    </w:p>
    <w:p>
      <w:pPr>
        <w:pStyle w:val="Normal"/>
        <w:rPr>
          <w:rFonts w:ascii="Times New Roman" w:hAnsi="Times New Roman" w:cs="Times New Roman"/>
          <w:sz w:val="32"/>
          <w:szCs w:val="32"/>
        </w:rPr>
      </w:pPr>
      <w:r>
        <w:rPr>
          <w:rFonts w:cs="Times New Roman" w:ascii="Times New Roman" w:hAnsi="Times New Roman"/>
          <w:sz w:val="32"/>
          <w:szCs w:val="32"/>
        </w:rPr>
      </w:r>
    </w:p>
    <w:p>
      <w:pPr>
        <w:pStyle w:val="ListParagraph"/>
        <w:numPr>
          <w:ilvl w:val="0"/>
          <w:numId w:val="1"/>
        </w:numPr>
        <w:spacing w:lineRule="auto" w:line="360"/>
        <w:rPr>
          <w:rFonts w:ascii="Times New Roman" w:hAnsi="Times New Roman" w:cs="Times New Roman"/>
          <w:sz w:val="28"/>
          <w:szCs w:val="28"/>
        </w:rPr>
      </w:pPr>
      <w:r>
        <w:rPr>
          <w:rFonts w:cs="Times New Roman" w:ascii="Times New Roman" w:hAnsi="Times New Roman"/>
          <w:sz w:val="28"/>
          <w:szCs w:val="28"/>
        </w:rPr>
        <w:t>Етническият фактор от международна гледна точка: Косово</w:t>
      </w:r>
    </w:p>
    <w:p>
      <w:pPr>
        <w:pStyle w:val="ListParagraph"/>
        <w:numPr>
          <w:ilvl w:val="1"/>
          <w:numId w:val="1"/>
        </w:numPr>
        <w:rPr>
          <w:rFonts w:ascii="Times New Roman" w:hAnsi="Times New Roman" w:cs="Times New Roman"/>
          <w:sz w:val="28"/>
          <w:szCs w:val="28"/>
        </w:rPr>
      </w:pPr>
      <w:r>
        <w:rPr>
          <w:rFonts w:cs="Times New Roman" w:ascii="Times New Roman" w:hAnsi="Times New Roman"/>
          <w:sz w:val="28"/>
          <w:szCs w:val="28"/>
        </w:rPr>
        <w:t>Косово : автономия ,независимост или обединение с родствени етнически групи зад граница?</w:t>
      </w:r>
    </w:p>
    <w:p>
      <w:pPr>
        <w:pStyle w:val="ListParagraph"/>
        <w:numPr>
          <w:ilvl w:val="1"/>
          <w:numId w:val="1"/>
        </w:numPr>
        <w:rPr>
          <w:rFonts w:ascii="Times New Roman" w:hAnsi="Times New Roman" w:cs="Times New Roman"/>
          <w:sz w:val="28"/>
          <w:szCs w:val="28"/>
        </w:rPr>
      </w:pPr>
      <w:r>
        <w:rPr>
          <w:rFonts w:cs="Times New Roman" w:ascii="Times New Roman" w:hAnsi="Times New Roman"/>
          <w:sz w:val="28"/>
          <w:szCs w:val="28"/>
        </w:rPr>
        <w:t>Косово: престъпност и тероризъм</w:t>
      </w:r>
    </w:p>
    <w:p>
      <w:pPr>
        <w:pStyle w:val="ListParagraph"/>
        <w:numPr>
          <w:ilvl w:val="1"/>
          <w:numId w:val="1"/>
        </w:numPr>
        <w:spacing w:lineRule="auto" w:line="360"/>
        <w:rPr>
          <w:rFonts w:ascii="Times New Roman" w:hAnsi="Times New Roman" w:cs="Times New Roman"/>
          <w:sz w:val="28"/>
          <w:szCs w:val="28"/>
        </w:rPr>
      </w:pPr>
      <w:r>
        <w:rPr>
          <w:rFonts w:cs="Times New Roman" w:ascii="Times New Roman" w:hAnsi="Times New Roman"/>
          <w:sz w:val="28"/>
          <w:szCs w:val="28"/>
        </w:rPr>
        <w:t>Косово: демократизация и неконтролируеми граници</w:t>
      </w:r>
    </w:p>
    <w:p>
      <w:pPr>
        <w:pStyle w:val="ListParagraph"/>
        <w:numPr>
          <w:ilvl w:val="0"/>
          <w:numId w:val="1"/>
        </w:numPr>
        <w:spacing w:lineRule="auto" w:line="360"/>
        <w:rPr>
          <w:rFonts w:ascii="Times New Roman" w:hAnsi="Times New Roman" w:cs="Times New Roman"/>
          <w:sz w:val="28"/>
          <w:szCs w:val="28"/>
        </w:rPr>
      </w:pPr>
      <w:r>
        <w:rPr>
          <w:rFonts w:cs="Times New Roman" w:ascii="Times New Roman" w:hAnsi="Times New Roman"/>
          <w:sz w:val="28"/>
          <w:szCs w:val="28"/>
        </w:rPr>
        <w:t>Етническият фактор от вътрешно политическа гледна точка</w:t>
      </w:r>
    </w:p>
    <w:p>
      <w:pPr>
        <w:pStyle w:val="ListParagraph"/>
        <w:numPr>
          <w:ilvl w:val="1"/>
          <w:numId w:val="1"/>
        </w:numPr>
        <w:rPr>
          <w:rFonts w:ascii="Times New Roman" w:hAnsi="Times New Roman" w:cs="Times New Roman"/>
          <w:sz w:val="28"/>
          <w:szCs w:val="28"/>
        </w:rPr>
      </w:pPr>
      <w:r>
        <w:rPr>
          <w:rFonts w:cs="Times New Roman" w:ascii="Times New Roman" w:hAnsi="Times New Roman"/>
          <w:sz w:val="28"/>
          <w:szCs w:val="28"/>
        </w:rPr>
        <w:t>Албанците в Македония</w:t>
      </w:r>
    </w:p>
    <w:p>
      <w:pPr>
        <w:pStyle w:val="ListParagraph"/>
        <w:numPr>
          <w:ilvl w:val="1"/>
          <w:numId w:val="1"/>
        </w:numPr>
        <w:rPr>
          <w:rFonts w:ascii="Times New Roman" w:hAnsi="Times New Roman" w:cs="Times New Roman"/>
          <w:sz w:val="28"/>
          <w:szCs w:val="28"/>
        </w:rPr>
      </w:pPr>
      <w:r>
        <w:rPr>
          <w:rFonts w:cs="Times New Roman" w:ascii="Times New Roman" w:hAnsi="Times New Roman"/>
          <w:sz w:val="28"/>
          <w:szCs w:val="28"/>
        </w:rPr>
        <w:t>Гърците в Албания</w:t>
      </w:r>
    </w:p>
    <w:p>
      <w:pPr>
        <w:pStyle w:val="ListParagraph"/>
        <w:numPr>
          <w:ilvl w:val="1"/>
          <w:numId w:val="1"/>
        </w:numPr>
        <w:spacing w:lineRule="auto" w:line="360"/>
        <w:rPr>
          <w:rFonts w:ascii="Times New Roman" w:hAnsi="Times New Roman" w:cs="Times New Roman"/>
          <w:sz w:val="28"/>
          <w:szCs w:val="28"/>
        </w:rPr>
      </w:pPr>
      <w:r>
        <w:rPr>
          <w:rFonts w:cs="Times New Roman" w:ascii="Times New Roman" w:hAnsi="Times New Roman"/>
          <w:sz w:val="28"/>
          <w:szCs w:val="28"/>
        </w:rPr>
        <w:t>Турците в България</w:t>
      </w:r>
    </w:p>
    <w:p>
      <w:pPr>
        <w:pStyle w:val="ListParagraph"/>
        <w:numPr>
          <w:ilvl w:val="0"/>
          <w:numId w:val="1"/>
        </w:numPr>
        <w:rPr>
          <w:rFonts w:ascii="Times New Roman" w:hAnsi="Times New Roman" w:cs="Times New Roman"/>
          <w:sz w:val="28"/>
          <w:szCs w:val="28"/>
        </w:rPr>
      </w:pPr>
      <w:r>
        <w:rPr>
          <w:rFonts w:cs="Times New Roman" w:ascii="Times New Roman" w:hAnsi="Times New Roman"/>
          <w:sz w:val="28"/>
          <w:szCs w:val="28"/>
        </w:rPr>
        <w:t xml:space="preserve">Заключения и политически препоръки </w:t>
      </w:r>
    </w:p>
    <w:p>
      <w:pPr>
        <w:pStyle w:val="ListParagraph"/>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b/>
          <w:b/>
          <w:sz w:val="28"/>
          <w:szCs w:val="28"/>
        </w:rPr>
      </w:pPr>
      <w:r>
        <w:rPr>
          <w:rFonts w:cs="Times New Roman" w:ascii="Times New Roman" w:hAnsi="Times New Roman"/>
          <w:b/>
          <w:sz w:val="28"/>
          <w:szCs w:val="28"/>
        </w:rPr>
      </w:r>
      <w:r>
        <w:br w:type="page"/>
      </w:r>
    </w:p>
    <w:p>
      <w:pPr>
        <w:pStyle w:val="Normal"/>
        <w:rPr>
          <w:rFonts w:ascii="Times New Roman" w:hAnsi="Times New Roman" w:cs="Times New Roman"/>
          <w:sz w:val="24"/>
          <w:szCs w:val="24"/>
        </w:rPr>
      </w:pPr>
      <w:r>
        <w:rPr>
          <w:rFonts w:cs="Times New Roman" w:ascii="Times New Roman" w:hAnsi="Times New Roman"/>
          <w:sz w:val="24"/>
          <w:szCs w:val="24"/>
        </w:rPr>
        <w:t xml:space="preserve">    </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Балканският полуостров е един особен и динамичен регион . Намиращ се на геополитически кръстопът , тук не са малко етносите оставили следите си или заселилите се трайно.  Не са и малко войните за спорни територии и населението живеещо върху  тях. След Втората световна война обстановката се успокоява - повечето от балканските държави са под съветско влияние и това е една от причините,които пречат за възникване на регионална нестабилност. След разпадането на Съветският съюз, обаче  има реална опасност „ Кутията на Пандора „ да бъде отворена за Балканите. Югославия – една многонационална държава започва да се разпада под натиска на съставляващите я етноси борещи се за самостоятелни независими държави.  Такава тенденция за отделяне или присъединяване към държавата – майка  се по появява и сред малцинства населяващи други балкански държави . Именно поради това не , икономическото и демографско развитие , инфраструктурата , престъпността или военната политика , а етническият  е фактора  посочен в изследването  ,като заплашващ  Балканската регионална стабилност в най-голяма степен. </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Целта на изследването е да се направи оценка на риска от етнически конфликт в южните Балкани в периода след Косовската криза от 1999 г. до 2001 година . Обект на изследването са България ,Албания и Македония и малцинствата живеещи на тяхна територия или съответно – етнически турци, етнически гърци и етнически албанци. Те са оценени с оглед на вътрешно и външно политическия им конфликтен потенциал  според тяхната сплотеност , политическо представителство  , културни права и етнически вълнения. Тук от международна гледна точка е разгледана етническата ситуация в Косово ,с цел да се създаде реална представа за регионалната етническа нестабилност.</w:t>
      </w:r>
    </w:p>
    <w:p>
      <w:pPr>
        <w:pStyle w:val="Normal"/>
        <w:jc w:val="both"/>
        <w:rPr>
          <w:rFonts w:ascii="Times New Roman" w:hAnsi="Times New Roman" w:cs="Times New Roman"/>
          <w:b/>
          <w:b/>
          <w:sz w:val="24"/>
          <w:szCs w:val="24"/>
        </w:rPr>
      </w:pPr>
      <w:r>
        <w:rPr>
          <w:rFonts w:cs="Times New Roman" w:ascii="Times New Roman" w:hAnsi="Times New Roman"/>
          <w:b/>
          <w:sz w:val="24"/>
          <w:szCs w:val="24"/>
        </w:rPr>
      </w:r>
    </w:p>
    <w:p>
      <w:pPr>
        <w:pStyle w:val="Normal"/>
        <w:jc w:val="both"/>
        <w:rPr>
          <w:rFonts w:ascii="Times New Roman" w:hAnsi="Times New Roman" w:cs="Times New Roman"/>
          <w:b/>
          <w:b/>
          <w:sz w:val="24"/>
          <w:szCs w:val="24"/>
        </w:rPr>
      </w:pPr>
      <w:r>
        <w:rPr>
          <w:rFonts w:cs="Times New Roman" w:ascii="Times New Roman" w:hAnsi="Times New Roman"/>
          <w:b/>
          <w:sz w:val="24"/>
          <w:szCs w:val="24"/>
        </w:rPr>
      </w:r>
    </w:p>
    <w:p>
      <w:pPr>
        <w:pStyle w:val="Normal"/>
        <w:jc w:val="both"/>
        <w:rPr>
          <w:rFonts w:ascii="Times New Roman" w:hAnsi="Times New Roman" w:cs="Times New Roman"/>
          <w:b/>
          <w:b/>
          <w:sz w:val="24"/>
          <w:szCs w:val="24"/>
        </w:rPr>
      </w:pPr>
      <w:r>
        <w:rPr>
          <w:rFonts w:cs="Times New Roman" w:ascii="Times New Roman" w:hAnsi="Times New Roman"/>
          <w:b/>
          <w:sz w:val="24"/>
          <w:szCs w:val="24"/>
        </w:rPr>
      </w:r>
    </w:p>
    <w:p>
      <w:pPr>
        <w:pStyle w:val="Normal"/>
        <w:jc w:val="both"/>
        <w:rPr>
          <w:rFonts w:ascii="Times New Roman" w:hAnsi="Times New Roman" w:cs="Times New Roman"/>
          <w:b/>
          <w:b/>
          <w:sz w:val="24"/>
          <w:szCs w:val="24"/>
        </w:rPr>
      </w:pPr>
      <w:r>
        <w:rPr>
          <w:rFonts w:cs="Times New Roman" w:ascii="Times New Roman" w:hAnsi="Times New Roman"/>
          <w:b/>
          <w:sz w:val="24"/>
          <w:szCs w:val="24"/>
        </w:rPr>
      </w:r>
    </w:p>
    <w:p>
      <w:pPr>
        <w:pStyle w:val="Normal"/>
        <w:jc w:val="both"/>
        <w:rPr>
          <w:rFonts w:ascii="Times New Roman" w:hAnsi="Times New Roman" w:cs="Times New Roman"/>
          <w:b/>
          <w:b/>
          <w:sz w:val="24"/>
          <w:szCs w:val="24"/>
        </w:rPr>
      </w:pPr>
      <w:r>
        <w:rPr>
          <w:rFonts w:cs="Times New Roman" w:ascii="Times New Roman" w:hAnsi="Times New Roman"/>
          <w:b/>
          <w:sz w:val="24"/>
          <w:szCs w:val="24"/>
        </w:rPr>
      </w:r>
    </w:p>
    <w:p>
      <w:pPr>
        <w:pStyle w:val="Normal"/>
        <w:jc w:val="both"/>
        <w:rPr>
          <w:rFonts w:ascii="Times New Roman" w:hAnsi="Times New Roman" w:cs="Times New Roman"/>
          <w:b/>
          <w:b/>
          <w:sz w:val="24"/>
          <w:szCs w:val="24"/>
        </w:rPr>
      </w:pPr>
      <w:r>
        <w:rPr>
          <w:rFonts w:cs="Times New Roman" w:ascii="Times New Roman" w:hAnsi="Times New Roman"/>
          <w:b/>
          <w:sz w:val="24"/>
          <w:szCs w:val="24"/>
        </w:rPr>
      </w:r>
    </w:p>
    <w:p>
      <w:pPr>
        <w:pStyle w:val="ListParagraph"/>
        <w:numPr>
          <w:ilvl w:val="0"/>
          <w:numId w:val="2"/>
        </w:numPr>
        <w:jc w:val="both"/>
        <w:rPr>
          <w:rFonts w:ascii="Times New Roman" w:hAnsi="Times New Roman" w:cs="Times New Roman"/>
          <w:sz w:val="24"/>
          <w:szCs w:val="24"/>
        </w:rPr>
      </w:pPr>
      <w:r>
        <w:rPr>
          <w:rFonts w:cs="Times New Roman" w:ascii="Times New Roman" w:hAnsi="Times New Roman"/>
          <w:sz w:val="24"/>
          <w:szCs w:val="24"/>
        </w:rPr>
        <w:t>Етническият фактор от международна гледна точка: Косово</w:t>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рамките на разглеждания период от юни 1999  до септември 2001 година стават факт две регионални кризи. Едната от тях е тази в южна Сърбия през 2000 година ,а другата е кризата в Македония през 2001 година. Механизмът за създаване и при двете е чрез привнасяне от косовски етнически албанци посредством буферни зони и сепаратистки организации. Те се случват дори след намесата на НАТО в косовския конфликт през 1999 година  и показват , че Косово остава център на регионална нестабилност независимо от статутът му обявен с резолюция 1244 на Съвета за сигурност на ООН ,който реално дава международна подкрепа и закрила на косовското население и в частност косовските албанци подложени на етническо прочистване от режима на Слободан Милошевич.</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Въпросът какъв да бъде статута на Косово е разискаван близо век и върви заедно с борбата на косовските албанци срещу югославските власти. В зависимост от обстоятелствата, исканията се люшкат между  автономия , държавна независимост и дори обединения с Албания или с етнически общности в съседните държави. До 90-те години на 20-ти век водещи в политиката на Косово са исканията за автономия или обединения и едва  с  процеса на разпадане на Югославия за  първи  път са формулирани  искания за независимост. Повод за открити искания за независимост става лишаването от автономен статут на областта ,както и проведените наказателни акции от страна на сръбските власти т.е. етническото прочистване на което са подложени косовските албанци . Създадена е  Армия за освобождение на Косово , която влиза в открит конфликт с режима в Белград през 1998. Тези събития са последвани от въздушните удари на НАТО  срещу Югославия с цел подобряване положението на албанците живеещи на територията и . С резолюция 1244 на Съвета за сигурност на ООН  се потвърждава , че Косово остава област в състава на Югославия със статут на  международен протекторат. Положението на албанците е подобрено след военните нападения , но приетата резолюция е разгледана от тях като стъпка към  крайната им цел -  пълна държавна независимост.  , ражда се дори идеята за Велико Косово. Част от следваната от тях националистическа политика са военните трансгранични структури създадени с цел да подпомагат борбата на етническите албанци в различни части на бивша Югославия. Те  са свързани с контрабандата на оръжия и прехвърляне на бойци  от АОК ,които участват в предизвикването на етнически конфликти в съседство.</w:t>
      </w:r>
    </w:p>
    <w:p>
      <w:pPr>
        <w:pStyle w:val="Normal"/>
        <w:jc w:val="both"/>
        <w:rPr>
          <w:rFonts w:ascii="Times New Roman" w:hAnsi="Times New Roman" w:cs="Times New Roman"/>
          <w:sz w:val="24"/>
          <w:szCs w:val="24"/>
        </w:rPr>
      </w:pPr>
      <w:r>
        <w:rPr>
          <w:rFonts w:cs="Times New Roman" w:ascii="Times New Roman" w:hAnsi="Times New Roman"/>
          <w:sz w:val="24"/>
          <w:szCs w:val="24"/>
        </w:rPr>
        <w:t>Косово заплашва регионалната стабилност и с това ,че националистическата политика в областта е тясно свързана с престъпност и тероризъм . Огромно влияние има мрежата от албански престъпни кланове , разпръснати из Албания ,Косово и Македония , занимаващи се с контрабанда на оръжия, наркотици  и трафик на хора през граница. Те подпомагат основаването на АОК и нейното разширяване. Част от тези кланове са т.нар. „ сезонни „ бунтовници ,които разглеждат войната като източник на трудова заетост и взимат участия във възникнали конфликти на Балканите. Борбата с косовската престъпност и тероризъм е предизвикателство ,тъй като между тях съществува тясна връзка . Контра-терористичните части в областта като Силите за охрана на Косово са обвинени в поддържане на връзки с престъпните кръгове ,тъй като организацията произлиза от АОК,която е  свързана с престъпни групировки.</w:t>
      </w:r>
    </w:p>
    <w:p>
      <w:pPr>
        <w:pStyle w:val="Normal"/>
        <w:jc w:val="both"/>
        <w:rPr>
          <w:rFonts w:ascii="Times New Roman" w:hAnsi="Times New Roman" w:cs="Times New Roman"/>
          <w:sz w:val="24"/>
          <w:szCs w:val="24"/>
        </w:rPr>
      </w:pPr>
      <w:r>
        <w:rPr>
          <w:rFonts w:cs="Times New Roman" w:ascii="Times New Roman" w:hAnsi="Times New Roman"/>
          <w:sz w:val="24"/>
          <w:szCs w:val="24"/>
        </w:rPr>
        <w:t>Провала на опитите на Косово да се демократизира е също от решаващо значение за стабилността в региона. Степента на демократизация в разглеждания период е малка .Изграждането на демократични институции в областта често е съпроводена с междуетническо напрежение. Пример за това са етническите проблеми в Митровица, където живеят голям брой сърби. Косовските албанци предприемат редица акции на отмъщение срещу  тях ,както и срещу евреи , роми и мюсюлмани обвинени ,че са действали в тяхна подкрепа , а това от своя страна води до  трайното прогонване на последните от областта. Мироопазващите части също са цел за терористите , тъй като са определени като симпатизанти на косовските сърби и пречка към пътя за независимост. Неконтролируемите граници пък дават възможност за изнасяне на граждански размирици в съседни територии – пример  за това са Кризата в южна Сърбия и в Македония.</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Косово се превръща в основна заплаха за стабилността на южните Балкани ,когато проявява претенции за независима държава.Шансовете Косовският въпрос да бъде бързо решен не са големи , но за това пък международната и регионална общоност се заемат със задачата да стабилизират областта и да намалят риска от разпространяване на етнически конфликти отвъд косовските граници.</w:t>
      </w:r>
      <w:bookmarkEnd w:id="0"/>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2"/>
        </w:numPr>
        <w:jc w:val="both"/>
        <w:rPr>
          <w:rFonts w:ascii="Times New Roman" w:hAnsi="Times New Roman" w:cs="Times New Roman"/>
          <w:sz w:val="24"/>
          <w:szCs w:val="24"/>
        </w:rPr>
      </w:pPr>
      <w:r>
        <w:rPr>
          <w:rFonts w:cs="Times New Roman" w:ascii="Times New Roman" w:hAnsi="Times New Roman"/>
          <w:sz w:val="24"/>
          <w:szCs w:val="24"/>
        </w:rPr>
        <w:t>Етническият фактор от вътрешно политическа гледна точка</w:t>
      </w:r>
    </w:p>
    <w:p>
      <w:pPr>
        <w:pStyle w:val="ListParagraph"/>
        <w:jc w:val="both"/>
        <w:rPr>
          <w:rFonts w:ascii="Times New Roman" w:hAnsi="Times New Roman" w:cs="Times New Roman"/>
          <w:sz w:val="24"/>
          <w:szCs w:val="24"/>
        </w:rPr>
      </w:pPr>
      <w:r>
        <w:rPr>
          <w:rFonts w:cs="Times New Roman" w:ascii="Times New Roman" w:hAnsi="Times New Roman"/>
          <w:sz w:val="24"/>
          <w:szCs w:val="24"/>
        </w:rPr>
      </w:r>
    </w:p>
    <w:p>
      <w:pPr>
        <w:pStyle w:val="ListParagraph"/>
        <w:jc w:val="both"/>
        <w:rPr>
          <w:rFonts w:ascii="Times New Roman" w:hAnsi="Times New Roman" w:cs="Times New Roman"/>
          <w:sz w:val="24"/>
          <w:szCs w:val="24"/>
        </w:rPr>
      </w:pPr>
      <w:r>
        <w:rPr>
          <w:rFonts w:cs="Times New Roman" w:ascii="Times New Roman" w:hAnsi="Times New Roman"/>
          <w:sz w:val="24"/>
          <w:szCs w:val="24"/>
        </w:rPr>
      </w:r>
    </w:p>
    <w:p>
      <w:pPr>
        <w:pStyle w:val="ListParagraph"/>
        <w:jc w:val="both"/>
        <w:rPr>
          <w:rFonts w:ascii="Times New Roman" w:hAnsi="Times New Roman" w:cs="Times New Roman"/>
          <w:sz w:val="24"/>
          <w:szCs w:val="24"/>
        </w:rPr>
      </w:pPr>
      <w:r>
        <w:rPr>
          <w:rFonts w:cs="Times New Roman" w:ascii="Times New Roman" w:hAnsi="Times New Roman"/>
          <w:sz w:val="24"/>
          <w:szCs w:val="24"/>
        </w:rPr>
        <w:t xml:space="preserve">2.1  Албанците в Македония         </w:t>
      </w:r>
    </w:p>
    <w:p>
      <w:pPr>
        <w:pStyle w:val="Normal"/>
        <w:jc w:val="both"/>
        <w:rPr>
          <w:rFonts w:ascii="Times New Roman" w:hAnsi="Times New Roman" w:cs="Times New Roman"/>
          <w:sz w:val="24"/>
          <w:szCs w:val="24"/>
        </w:rPr>
      </w:pPr>
      <w:r>
        <w:rPr>
          <w:rFonts w:cs="Times New Roman" w:ascii="Times New Roman" w:hAnsi="Times New Roman"/>
          <w:sz w:val="24"/>
          <w:szCs w:val="24"/>
        </w:rPr>
        <w:t>С оглед на регионалните предизвикателства пред сигурността в южните Балкани, ключов елемент са албанците в Македония. Според индикатора – групова сплотеност , големият брой на албанците , както и обстоятелството ,че живеят край границата в близост до своите етнически събратя в Косово, улеснява вътрешно етническата солидарност и честите трансгранични съвместни действия предизвикващи конфликти поставящи под въпрос независимия статут на Македония. През 1968 г. македонските албанци формулират общо албанска идеологическа платформа настояваща за създаване на самостоятелна албанска държава  от всички населени с албанци райони в Югославия. Тази идея е поизоставена след 1994г. и македоските албанци настояват повече  за общностни права отколкото за федерализация. Въпреки това традиционно силните трансгранични връзки пораждат устойчиви общи цели и насърчават използването на радикални действия. Привнесената в Македония  криза от 2001 г. е може би най-забележителният пример за трансгранични действия заплашващи стабилността на страната. Политическото ръководство на македонските албанци поддържа тесни връзки с  паравоенните групировки като АНО и Общоалбанска армия, които взимат участие в кризата. Дори и след Рамковото споразумение от 2001г. водещо до подсилване статута на етническите албанци , бунтовниците продължават да дестабилизират Македония. В действителност лидерите на етническите албанци никога не се дистанцират публично от заявените в миналото сепаратистки амбиции.Очевидно традиционно силните трансгранични връзки пораждат устойчиви общи цели и насърчават използването на радикални действия водещи до разклащането стабилността на Македония.</w:t>
      </w:r>
    </w:p>
    <w:p>
      <w:pPr>
        <w:pStyle w:val="Normal"/>
        <w:jc w:val="both"/>
        <w:rPr>
          <w:rFonts w:ascii="Times New Roman" w:hAnsi="Times New Roman" w:cs="Times New Roman"/>
          <w:sz w:val="24"/>
          <w:szCs w:val="24"/>
        </w:rPr>
      </w:pPr>
      <w:r>
        <w:rPr>
          <w:rFonts w:cs="Times New Roman" w:ascii="Times New Roman" w:hAnsi="Times New Roman"/>
          <w:sz w:val="24"/>
          <w:szCs w:val="24"/>
        </w:rPr>
        <w:t>Другият индикатор за оценка на риска е  политическото представителство . Политиката на етническите албанци изглежда умерена , те са политически представени в разглеждания период от две големи албански партии –Партия на демократичния просперитет и Демократична партия на албанците, които са част от управляващата коалиция по време на разглеждания период. И двете отдават голямо значение на засилването културните права на албанците.</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От 1990-1994г.  вътрешната албанска политика е насилствена и често поставя под съмнение легитимността на македонската държава. През 1991г.  ПДП бойкотира приемането на конституцията , с която Македония се обявява за независима държава . През следваща година македонските албанци организират референдум за създаване на независима република Илирида , а  през 1993г. ПДП бойкотира парламентарната сесия ,на която да се избере временно име на македонската държава. ПДП твърди ,че Македония не трябва да получи международно признание докато не зачете правата на малцинствата.  Така след  2001г. те издигат искания предимно свързани с културните и политически права на албанците. </w:t>
      </w:r>
    </w:p>
    <w:p>
      <w:pPr>
        <w:pStyle w:val="Normal"/>
        <w:jc w:val="both"/>
        <w:rPr>
          <w:rFonts w:ascii="Times New Roman" w:hAnsi="Times New Roman" w:cs="Times New Roman"/>
          <w:sz w:val="24"/>
          <w:szCs w:val="24"/>
        </w:rPr>
      </w:pPr>
      <w:r>
        <w:rPr>
          <w:rFonts w:cs="Times New Roman" w:ascii="Times New Roman" w:hAnsi="Times New Roman"/>
          <w:sz w:val="24"/>
          <w:szCs w:val="24"/>
        </w:rPr>
        <w:t>Етническите вълнения са епизодично явление. Повечето кръвопролитни инциденти се случват във времето преди 1994г. и броят им намалява след промяна на политическия курс на албанците.Въпреки това те са факт и показват ,че етническите опоненти биха предприели насилствени действия при решаването на междуетнически спорове. Примери за подобни вълнения са тези от Скопския бит пазар през 1992. И тези от град Гостивар завършили с двама убити и стотици арестувани.</w:t>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2.2  Гърците в Албания</w:t>
      </w:r>
    </w:p>
    <w:p>
      <w:pPr>
        <w:pStyle w:val="Normal"/>
        <w:jc w:val="both"/>
        <w:rPr>
          <w:rFonts w:ascii="Times New Roman" w:hAnsi="Times New Roman" w:cs="Times New Roman"/>
          <w:sz w:val="24"/>
          <w:szCs w:val="24"/>
        </w:rPr>
      </w:pPr>
      <w:r>
        <w:rPr>
          <w:rFonts w:cs="Times New Roman" w:ascii="Times New Roman" w:hAnsi="Times New Roman"/>
          <w:sz w:val="24"/>
          <w:szCs w:val="24"/>
        </w:rPr>
        <w:t>Гърците в Албания не представляват заплаха нито за регионалната стабилност ,нито за вътрешно политическата сигурност. Напрежение се наблюдава само през първите години на прехода в Албания. Тази ситуация обаче не е необратима , евентуални граждански размирици могат да дестабилизират държавата и да се разпространят в съседно Косово.</w:t>
      </w:r>
    </w:p>
    <w:p>
      <w:pPr>
        <w:pStyle w:val="Normal"/>
        <w:jc w:val="both"/>
        <w:rPr>
          <w:rFonts w:ascii="Times New Roman" w:hAnsi="Times New Roman" w:cs="Times New Roman"/>
          <w:sz w:val="24"/>
          <w:szCs w:val="24"/>
        </w:rPr>
      </w:pPr>
      <w:r>
        <w:rPr>
          <w:rFonts w:cs="Times New Roman" w:ascii="Times New Roman" w:hAnsi="Times New Roman"/>
          <w:sz w:val="24"/>
          <w:szCs w:val="24"/>
        </w:rPr>
        <w:t>Както вече бе споменато , напрежение се наблюдава в първите години от прехода. Според индикатора групова сплотеност , териториалната близост на гърците до държавата-майка увеличава риска от регионална нестабилност и заплашва териториалната цялост на Албания в този период.Тогава етническите  гърци настояват за отделянето на северен Епир от Албания и присъединяването му към Гърция. Междуетническото напрежение нараства ,а заедно с това и междудържавническите отношения между Албания и Гърция. Първоначално Албания се заема да депортира политически опасни фигури от гръцки произход , Гърция отговаря с депортирането на около 200 000 нелегални албански емигранти.Двете страни взаимно експулсират дипломатите си. През 1995г. обаче междуетническото напрежение в Албания се успокоява ,като решаващо значение има ,че  Гърция спомага за това . Същата година  политика на гърците в Албания се променя,  като призивите за обособяване са заменени с призиви за разширяване на общностните им права. Въпреки националистическите си искания в миналото , гърцие не представляват реална сепаратистка заплаха за Албания. Те не я застрашават и с вътрешна нестабилност , като дори участват в гражданските протести от 1997 и 1998 г.</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Етническите гърци имат политическо представителство от 1991 г насам. Първата им етническа  партия е Омония , а през 1992г. е създадена партията Съюз за правата на човека в резултат на преговори между Албания и Гърция. Омония взема участие в първите и вторите многопартийни избори през 1991г. , но е обвинена от албанските власти в подстрекаване към национализъм и притежаване на оръжие. След 1992г. гърците са политически представяни от партията Съюз за праца на човека , която често е част от управляващите коалиции и има решаваща роля в тях. В резултат на политическото представителство културните и политически права на гърците са разширени.До 1995г. етническите гърци имат три вестника и една радио станция , а гръцкият език се преподава в началните училища и гимназии.                                                                              Етническите размирици не са често срещани  в Албания. За такива се съобщава два пъти , но те нямат пагубни резултати, а се изразяват по скоро в бунтове. Един от тях е свързан с депортирането на архимадрит Хризостомос обвинен в сепаратиска дейност и става близо до Гирокастра.            </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Гърция има важна роля в ограничаването на напрежението породено в годините от 1992-1995г. След гражданската война от 1997г. наличието на гръцки войски дава гаранция за политическа стабилност и етническия мир в страната. Този мир обаче не е необратим  и при възникнали политически или етнически конфликти може да бъде заплашена стабилността и в  съседните на Албания държави.</w:t>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1"/>
          <w:numId w:val="2"/>
        </w:numPr>
        <w:jc w:val="both"/>
        <w:rPr>
          <w:rFonts w:ascii="Times New Roman" w:hAnsi="Times New Roman" w:cs="Times New Roman"/>
          <w:sz w:val="24"/>
          <w:szCs w:val="24"/>
        </w:rPr>
      </w:pPr>
      <w:r>
        <w:rPr>
          <w:rFonts w:cs="Times New Roman" w:ascii="Times New Roman" w:hAnsi="Times New Roman"/>
          <w:sz w:val="24"/>
          <w:szCs w:val="24"/>
        </w:rPr>
        <w:t xml:space="preserve">Турците в България </w:t>
      </w:r>
    </w:p>
    <w:p>
      <w:pPr>
        <w:pStyle w:val="ListParagraph"/>
        <w:ind w:left="975" w:hanging="0"/>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Турците в България  не представляват заплаха нито за регионалната сигурност , нито за вътрешната стабилност. Наблюдава се агресия в първите години от прехода ,но тъй като са им предоставени широки общностни права тя бързо намалява. Турците живеят в два обособени района в североизточна и в югоизточна България. От гледна точка на етническата им сплотеност техният брой и близостта им до Турция не представляват заплаха за регионалната стабилност. Напрежение  има по време на Възрожденския процес ,когато много от турците се изселват , но след разпадането на комунистическия режим се завръщат в домовете си. </w:t>
      </w:r>
    </w:p>
    <w:p>
      <w:pPr>
        <w:pStyle w:val="Normal"/>
        <w:jc w:val="both"/>
        <w:rPr>
          <w:rFonts w:ascii="Times New Roman" w:hAnsi="Times New Roman" w:cs="Times New Roman"/>
          <w:sz w:val="24"/>
          <w:szCs w:val="24"/>
        </w:rPr>
      </w:pPr>
      <w:r>
        <w:rPr>
          <w:rFonts w:cs="Times New Roman" w:ascii="Times New Roman" w:hAnsi="Times New Roman"/>
          <w:sz w:val="24"/>
          <w:szCs w:val="24"/>
        </w:rPr>
        <w:t>Вътрешната етническа политика на българските турци е умерена , те са представени от Движение за права и свободи  , като партията действа за разширяването на  културните и политически права на малцинството. Една от основните теми в турската политика е участието в местната и национална власт. В началото на 90-те се организират редица протести от страна на български националисти срещу предоставянето на културни и политически права на малцинствата, но е постигнато споразумение между управляващи и опозиция , което разсейва етническото напрежение в страната , а заедно с това малцинствата получават обширни права.</w:t>
      </w:r>
    </w:p>
    <w:p>
      <w:pPr>
        <w:pStyle w:val="Normal"/>
        <w:jc w:val="both"/>
        <w:rPr>
          <w:rFonts w:ascii="Times New Roman" w:hAnsi="Times New Roman" w:cs="Times New Roman"/>
          <w:sz w:val="24"/>
          <w:szCs w:val="24"/>
        </w:rPr>
      </w:pPr>
      <w:r>
        <w:rPr>
          <w:rFonts w:cs="Times New Roman" w:ascii="Times New Roman" w:hAnsi="Times New Roman"/>
          <w:sz w:val="24"/>
          <w:szCs w:val="24"/>
        </w:rPr>
        <w:t>Според последния индикатор - етнически вълнения ,в България не съществуват такива. На лице са няколко мирни протеста ,но до насилствени сблъсъци не се стига. Тук може да твърди , че по скоро българите и турците в България имат  общи проблеми свързани с демократизацията и икономическото състояние на страната и това често ги кара да обединяват гражданската си позиция.</w:t>
      </w:r>
    </w:p>
    <w:p>
      <w:pPr>
        <w:pStyle w:val="ListParagraph"/>
        <w:numPr>
          <w:ilvl w:val="0"/>
          <w:numId w:val="2"/>
        </w:numPr>
        <w:jc w:val="both"/>
        <w:rPr>
          <w:rFonts w:ascii="Times New Roman" w:hAnsi="Times New Roman" w:cs="Times New Roman"/>
          <w:sz w:val="24"/>
          <w:szCs w:val="24"/>
        </w:rPr>
      </w:pPr>
      <w:r>
        <w:rPr>
          <w:rFonts w:cs="Times New Roman" w:ascii="Times New Roman" w:hAnsi="Times New Roman"/>
          <w:sz w:val="24"/>
          <w:szCs w:val="24"/>
        </w:rPr>
        <w:t xml:space="preserve">Заключения и политически препоръки </w:t>
      </w:r>
    </w:p>
    <w:p>
      <w:pPr>
        <w:pStyle w:val="ListParagraph"/>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Основната заплаха за регионалната стабилност идва от Косово с неуредения му статут , криминализираната политика, дефицитът на демокрация и неконтролируемите граници даващи възможност за изнасяне на конфликти. </w:t>
      </w:r>
    </w:p>
    <w:p>
      <w:pPr>
        <w:pStyle w:val="Normal"/>
        <w:jc w:val="both"/>
        <w:rPr>
          <w:rFonts w:ascii="Times New Roman" w:hAnsi="Times New Roman" w:cs="Times New Roman"/>
          <w:sz w:val="24"/>
          <w:szCs w:val="24"/>
        </w:rPr>
      </w:pPr>
      <w:r>
        <w:rPr>
          <w:rFonts w:cs="Times New Roman" w:ascii="Times New Roman" w:hAnsi="Times New Roman"/>
          <w:sz w:val="24"/>
          <w:szCs w:val="24"/>
        </w:rPr>
        <w:t>Важна за оценката на регионалната сигурност се явява етническата ситуация в Македония. Тя не представлява заплаха за регионалната стабилност сама по себе си , но е уязвима на трансгранично разпространяване на конфликти и вътрешно етнически сътресения. Проблем е и липсата на лоялност от страна на албанските лидери в Македония към нейните институции.</w:t>
      </w:r>
    </w:p>
    <w:p>
      <w:pPr>
        <w:pStyle w:val="Normal"/>
        <w:jc w:val="both"/>
        <w:rPr>
          <w:rFonts w:ascii="Times New Roman" w:hAnsi="Times New Roman" w:cs="Times New Roman"/>
          <w:sz w:val="24"/>
          <w:szCs w:val="24"/>
        </w:rPr>
      </w:pPr>
      <w:r>
        <w:rPr>
          <w:rFonts w:cs="Times New Roman" w:ascii="Times New Roman" w:hAnsi="Times New Roman"/>
          <w:sz w:val="24"/>
          <w:szCs w:val="24"/>
        </w:rPr>
        <w:t>Третото заключение е свързано с Албания , в която въпреки относителната стабилност на етническите отношения, остава страна с нестабилен граждански мир.</w:t>
      </w:r>
    </w:p>
    <w:p>
      <w:pPr>
        <w:pStyle w:val="Normal"/>
        <w:jc w:val="both"/>
        <w:rPr>
          <w:rFonts w:ascii="Times New Roman" w:hAnsi="Times New Roman" w:cs="Times New Roman"/>
          <w:sz w:val="24"/>
          <w:szCs w:val="24"/>
        </w:rPr>
      </w:pPr>
      <w:r>
        <w:rPr>
          <w:rFonts w:cs="Times New Roman" w:ascii="Times New Roman" w:hAnsi="Times New Roman"/>
          <w:sz w:val="24"/>
          <w:szCs w:val="24"/>
        </w:rPr>
        <w:t>И разбира се България, в която етническите отношения в този период се демократизират, липсва напрежение и сблъсъци, нейните основни проблеми се коренят в икономическата ситуация и нестабилността на политическите й институции.</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След като тези заключения са направени , Институтът за регионални и международни изследвания в София предлага конкретни политически препоръки .</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Относно Косовският въпрос , препоръката е насочена към международната общност  и нейната политика в областта . Това става в три посочна стратегия :</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b/>
          <w:sz w:val="24"/>
          <w:szCs w:val="24"/>
        </w:rPr>
        <w:t xml:space="preserve">. </w:t>
      </w:r>
      <w:r>
        <w:rPr>
          <w:rFonts w:cs="Times New Roman" w:ascii="Times New Roman" w:hAnsi="Times New Roman"/>
          <w:sz w:val="24"/>
          <w:szCs w:val="24"/>
        </w:rPr>
        <w:t>Да се спре контрабандата на орижие и нелегално преминаващи бойци в съседните на Косово територии. Решение на този проблем би било затварянето на Косовската граница. За да се постигне желания ефект обаче международната общност трябва да насърчава сътрудничеството с граничните власти на съседните държави.</w:t>
      </w:r>
    </w:p>
    <w:p>
      <w:pPr>
        <w:pStyle w:val="Normal"/>
        <w:jc w:val="both"/>
        <w:rPr>
          <w:rFonts w:ascii="Times New Roman" w:hAnsi="Times New Roman" w:cs="Times New Roman"/>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w:t>
      </w:r>
      <w:r>
        <w:rPr>
          <w:rFonts w:cs="Times New Roman" w:ascii="Times New Roman" w:hAnsi="Times New Roman"/>
          <w:sz w:val="24"/>
          <w:szCs w:val="24"/>
        </w:rPr>
        <w:t xml:space="preserve"> Международната общност трябва да се противопоставя на тероризма и да подкрепя демократизацията на областта.</w:t>
      </w:r>
    </w:p>
    <w:p>
      <w:pPr>
        <w:pStyle w:val="Normal"/>
        <w:jc w:val="both"/>
        <w:rPr>
          <w:rFonts w:ascii="Times New Roman" w:hAnsi="Times New Roman" w:cs="Times New Roman"/>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w:t>
      </w:r>
      <w:r>
        <w:rPr>
          <w:rFonts w:cs="Times New Roman" w:ascii="Times New Roman" w:hAnsi="Times New Roman"/>
          <w:sz w:val="24"/>
          <w:szCs w:val="24"/>
        </w:rPr>
        <w:t xml:space="preserve"> Статутът на Косово не бива да бъде уреждан преждевременно. Косовските албанци трябва сами да извървят пътя към мултиетническа демокрация и да покажат ,че са готови за независимост.</w:t>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Относно следващото предизвикателство ,а именно междуетническата политика в Република Македония , стратегията също е трипосочна:</w:t>
      </w:r>
    </w:p>
    <w:p>
      <w:pPr>
        <w:pStyle w:val="Normal"/>
        <w:jc w:val="both"/>
        <w:rPr>
          <w:rFonts w:ascii="Times New Roman" w:hAnsi="Times New Roman" w:cs="Times New Roman"/>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 xml:space="preserve">. </w:t>
      </w:r>
      <w:r>
        <w:rPr>
          <w:rFonts w:cs="Times New Roman" w:ascii="Times New Roman" w:hAnsi="Times New Roman"/>
          <w:sz w:val="24"/>
          <w:szCs w:val="24"/>
        </w:rPr>
        <w:t xml:space="preserve"> Македонските власти трябва да преодолеят славомакедонския си национализъм.</w:t>
      </w:r>
    </w:p>
    <w:p>
      <w:pPr>
        <w:pStyle w:val="Normal"/>
        <w:jc w:val="both"/>
        <w:rPr>
          <w:rFonts w:ascii="Times New Roman" w:hAnsi="Times New Roman" w:cs="Times New Roman"/>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 xml:space="preserve">. </w:t>
      </w:r>
      <w:r>
        <w:rPr>
          <w:rFonts w:cs="Times New Roman" w:ascii="Times New Roman" w:hAnsi="Times New Roman"/>
          <w:sz w:val="24"/>
          <w:szCs w:val="24"/>
        </w:rPr>
        <w:t>Македонските власти да бъдат по-отзивчиви към недоволството на етническите малцинства и да уважава гражданските им права.</w:t>
      </w:r>
    </w:p>
    <w:p>
      <w:pPr>
        <w:pStyle w:val="Normal"/>
        <w:jc w:val="both"/>
        <w:rPr>
          <w:rFonts w:ascii="Times New Roman" w:hAnsi="Times New Roman" w:cs="Times New Roman"/>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w:t>
      </w:r>
      <w:r>
        <w:rPr>
          <w:rFonts w:cs="Times New Roman" w:ascii="Times New Roman" w:hAnsi="Times New Roman"/>
          <w:sz w:val="24"/>
          <w:szCs w:val="24"/>
        </w:rPr>
        <w:t xml:space="preserve"> Отношенията на Македония със Запада трябва да бъдат подобрени. Македонските власти трябва да имат повече доверие към международните инициативи ,които подкрепят статутът й на независима държава.</w:t>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Към края на разглеждания период в изследването , етническата ситуация в Албания е спокойна. Политическите препоръки ,които биха дадени тук са свързани с гражданските и политически сфери. Демократите в Албания трябва да бъдат интегрирани в политическия процес , а гражданският мир трябва да бъде поддържан , тъй като гражданските размирици има реална опасност да прерастнат в етнически конфликти и още по-лошо да се разнесат в съседно Косово , а това от своя страна да разруши регионалната стабилност.</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И накрая в изследването ,ще обобщим етническата ситуация в България ,която в разглеждания период е спокойна. Тук проблемите ,както вече беше споменато ,са свързани с икономическа несигурност и уязвими политически институции и те по скоро обединяват българите и турците в целта им да подобрят стандарта си на живот , отколкото биха довели до конфронтации.</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 </w:t>
      </w:r>
    </w:p>
    <w:p>
      <w:pPr>
        <w:pStyle w:val="Normal"/>
        <w:spacing w:before="0" w:after="200"/>
        <w:jc w:val="both"/>
        <w:rPr/>
      </w:pPr>
      <w:r>
        <w:rPr/>
      </w:r>
    </w:p>
    <w:sectPr>
      <w:type w:val="nextPage"/>
      <w:pgSz w:w="11906" w:h="16838"/>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decimal"/>
      <w:lvlText w:val="%1.%2"/>
      <w:lvlJc w:val="left"/>
      <w:pPr>
        <w:ind w:left="900" w:hanging="420"/>
      </w:pPr>
    </w:lvl>
    <w:lvl w:ilvl="2">
      <w:start w:val="1"/>
      <w:numFmt w:val="decimal"/>
      <w:lvlText w:val="%1.%2.%3"/>
      <w:lvlJc w:val="left"/>
      <w:pPr>
        <w:ind w:left="1320" w:hanging="720"/>
      </w:pPr>
    </w:lvl>
    <w:lvl w:ilvl="3">
      <w:start w:val="1"/>
      <w:numFmt w:val="decimal"/>
      <w:lvlText w:val="%1.%2.%3.%4"/>
      <w:lvlJc w:val="left"/>
      <w:pPr>
        <w:ind w:left="1800" w:hanging="1080"/>
      </w:pPr>
    </w:lvl>
    <w:lvl w:ilvl="4">
      <w:start w:val="1"/>
      <w:numFmt w:val="decimal"/>
      <w:lvlText w:val="%1.%2.%3.%4.%5"/>
      <w:lvlJc w:val="left"/>
      <w:pPr>
        <w:ind w:left="1920" w:hanging="1080"/>
      </w:pPr>
    </w:lvl>
    <w:lvl w:ilvl="5">
      <w:start w:val="1"/>
      <w:numFmt w:val="decimal"/>
      <w:lvlText w:val="%1.%2.%3.%4.%5.%6"/>
      <w:lvlJc w:val="left"/>
      <w:pPr>
        <w:ind w:left="2400" w:hanging="1440"/>
      </w:pPr>
    </w:lvl>
    <w:lvl w:ilvl="6">
      <w:start w:val="1"/>
      <w:numFmt w:val="decimal"/>
      <w:lvlText w:val="%1.%2.%3.%4.%5.%6.%7"/>
      <w:lvlJc w:val="left"/>
      <w:pPr>
        <w:ind w:left="2520" w:hanging="1440"/>
      </w:pPr>
    </w:lvl>
    <w:lvl w:ilvl="7">
      <w:start w:val="1"/>
      <w:numFmt w:val="decimal"/>
      <w:lvlText w:val="%1.%2.%3.%4.%5.%6.%7.%8"/>
      <w:lvlJc w:val="left"/>
      <w:pPr>
        <w:ind w:left="3000" w:hanging="1800"/>
      </w:pPr>
    </w:lvl>
    <w:lvl w:ilvl="8">
      <w:start w:val="1"/>
      <w:numFmt w:val="decimal"/>
      <w:lvlText w:val="%1.%2.%3.%4.%5.%6.%7.%8.%9"/>
      <w:lvlJc w:val="left"/>
      <w:pPr>
        <w:ind w:left="3480" w:hanging="2160"/>
      </w:pPr>
    </w:lvl>
  </w:abstractNum>
  <w:abstractNum w:abstractNumId="2">
    <w:lvl w:ilvl="0">
      <w:start w:val="1"/>
      <w:numFmt w:val="decimal"/>
      <w:lvlText w:val="%1."/>
      <w:lvlJc w:val="left"/>
      <w:pPr>
        <w:ind w:left="720" w:hanging="360"/>
      </w:pPr>
    </w:lvl>
    <w:lvl w:ilvl="1">
      <w:start w:val="3"/>
      <w:numFmt w:val="decimal"/>
      <w:lvlText w:val="%1.%2"/>
      <w:lvlJc w:val="left"/>
      <w:pPr>
        <w:ind w:left="975" w:hanging="450"/>
      </w:pPr>
    </w:lvl>
    <w:lvl w:ilvl="2">
      <w:start w:val="1"/>
      <w:numFmt w:val="decimal"/>
      <w:lvlText w:val="%1.%2.%3"/>
      <w:lvlJc w:val="left"/>
      <w:pPr>
        <w:ind w:left="1410" w:hanging="720"/>
      </w:pPr>
    </w:lvl>
    <w:lvl w:ilvl="3">
      <w:start w:val="1"/>
      <w:numFmt w:val="decimal"/>
      <w:lvlText w:val="%1.%2.%3.%4"/>
      <w:lvlJc w:val="left"/>
      <w:pPr>
        <w:ind w:left="1935" w:hanging="1080"/>
      </w:pPr>
    </w:lvl>
    <w:lvl w:ilvl="4">
      <w:start w:val="1"/>
      <w:numFmt w:val="decimal"/>
      <w:lvlText w:val="%1.%2.%3.%4.%5"/>
      <w:lvlJc w:val="left"/>
      <w:pPr>
        <w:ind w:left="2100" w:hanging="1080"/>
      </w:pPr>
    </w:lvl>
    <w:lvl w:ilvl="5">
      <w:start w:val="1"/>
      <w:numFmt w:val="decimal"/>
      <w:lvlText w:val="%1.%2.%3.%4.%5.%6"/>
      <w:lvlJc w:val="left"/>
      <w:pPr>
        <w:ind w:left="2625" w:hanging="1440"/>
      </w:pPr>
    </w:lvl>
    <w:lvl w:ilvl="6">
      <w:start w:val="1"/>
      <w:numFmt w:val="decimal"/>
      <w:lvlText w:val="%1.%2.%3.%4.%5.%6.%7"/>
      <w:lvlJc w:val="left"/>
      <w:pPr>
        <w:ind w:left="2790" w:hanging="1440"/>
      </w:pPr>
    </w:lvl>
    <w:lvl w:ilvl="7">
      <w:start w:val="1"/>
      <w:numFmt w:val="decimal"/>
      <w:lvlText w:val="%1.%2.%3.%4.%5.%6.%7.%8"/>
      <w:lvlJc w:val="left"/>
      <w:pPr>
        <w:ind w:left="3315" w:hanging="1800"/>
      </w:pPr>
    </w:lvl>
    <w:lvl w:ilvl="8">
      <w:start w:val="1"/>
      <w:numFmt w:val="decimal"/>
      <w:lvlText w:val="%1.%2.%3.%4.%5.%6.%7.%8.%9"/>
      <w:lvlJc w:val="left"/>
      <w:pPr>
        <w:ind w:left="3840" w:hanging="216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0"/>
  <w:defaultTabStop w:val="708"/>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016dc"/>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semiHidden/>
    <w:qFormat/>
    <w:rsid w:val="00793a26"/>
    <w:rPr/>
  </w:style>
  <w:style w:type="character" w:styleId="FooterChar" w:customStyle="1">
    <w:name w:val="Footer Char"/>
    <w:basedOn w:val="DefaultParagraphFont"/>
    <w:link w:val="Footer"/>
    <w:uiPriority w:val="99"/>
    <w:semiHidden/>
    <w:qFormat/>
    <w:rsid w:val="00793a26"/>
    <w:rPr/>
  </w:style>
  <w:style w:type="paragraph" w:styleId="Heading">
    <w:name w:val="Heading"/>
    <w:basedOn w:val="Normal"/>
    <w:next w:val="TextBody"/>
    <w:qFormat/>
    <w:pPr>
      <w:keepNext w:val="true"/>
      <w:spacing w:before="240" w:after="120"/>
    </w:pPr>
    <w:rPr>
      <w:rFonts w:ascii="Liberation Sans" w:hAnsi="Liberation Sans" w:eastAsia="Droid Sans Fallback"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eader">
    <w:name w:val="Header"/>
    <w:basedOn w:val="Normal"/>
    <w:link w:val="HeaderChar"/>
    <w:uiPriority w:val="99"/>
    <w:semiHidden/>
    <w:unhideWhenUsed/>
    <w:rsid w:val="00793a26"/>
    <w:pPr>
      <w:tabs>
        <w:tab w:val="clear" w:pos="708"/>
        <w:tab w:val="center" w:pos="4536" w:leader="none"/>
        <w:tab w:val="right" w:pos="9072" w:leader="none"/>
      </w:tabs>
      <w:spacing w:lineRule="auto" w:line="240" w:before="0" w:after="0"/>
    </w:pPr>
    <w:rPr/>
  </w:style>
  <w:style w:type="paragraph" w:styleId="Footer">
    <w:name w:val="Footer"/>
    <w:basedOn w:val="Normal"/>
    <w:link w:val="FooterChar"/>
    <w:uiPriority w:val="99"/>
    <w:semiHidden/>
    <w:unhideWhenUsed/>
    <w:rsid w:val="00793a26"/>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34"/>
    <w:qFormat/>
    <w:rsid w:val="00793a26"/>
    <w:pPr>
      <w:spacing w:before="0" w:after="20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Application>LibreOffice/6.2.4.2.0$Linux_X86_64 LibreOffice_project/20$Build-2</Application>
  <Pages>8</Pages>
  <Words>2635</Words>
  <Characters>15300</Characters>
  <CharactersWithSpaces>18223</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2013-01-25T11:26:00Z</dcterms:created>
  <dc:creator>Киро</dc:creator>
  <dc:description/>
  <dc:language>en-US</dc:language>
  <cp:lastModifiedBy>Киро</cp:lastModifiedBy>
  <dcterms:modified xsi:type="dcterms:W3CDTF">2013-01-30T13:42:00Z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